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ru</w:t>
            </w:r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r w:rsidR="005C2552" w:rsidRPr="005C2552">
              <w:rPr>
                <w:sz w:val="24"/>
                <w:szCs w:val="24"/>
              </w:rPr>
              <w:t>.</w:t>
            </w:r>
            <w:r w:rsidR="005C2552" w:rsidRPr="005C2552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035B8D">
        <w:rPr>
          <w:sz w:val="26"/>
          <w:szCs w:val="26"/>
        </w:rPr>
        <w:t>10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г.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электрофицированных фитинговых</w:t>
      </w:r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9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2 тн</w:t>
            </w:r>
            <w:r w:rsidR="00444DB6" w:rsidRPr="00BA0F48">
              <w:rPr>
                <w:sz w:val="24"/>
                <w:szCs w:val="24"/>
              </w:rPr>
              <w:t xml:space="preserve">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6 т</w:t>
            </w:r>
            <w:r w:rsidR="00444DB6" w:rsidRPr="00BA0F48">
              <w:rPr>
                <w:sz w:val="24"/>
                <w:szCs w:val="24"/>
              </w:rPr>
              <w:t xml:space="preserve">н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6C3EE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6C3EE1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B450B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50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6C3EE1" w:rsidP="0072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5B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</w:t>
            </w:r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6C3EE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035B8D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6C3EE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035B8D">
              <w:rPr>
                <w:sz w:val="24"/>
                <w:szCs w:val="24"/>
              </w:rPr>
              <w:t>6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35B8D" w:rsidP="008C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053BE2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gramStart"/>
            <w:r w:rsidRPr="00295692">
              <w:rPr>
                <w:sz w:val="24"/>
                <w:szCs w:val="24"/>
              </w:rPr>
              <w:t xml:space="preserve">Автоуслуги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 w:rsidR="00035B8D">
              <w:t>-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521099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521099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 (</w:t>
            </w:r>
            <w:r w:rsidRPr="00295692">
              <w:rPr>
                <w:sz w:val="24"/>
                <w:szCs w:val="24"/>
              </w:rPr>
              <w:t xml:space="preserve"> 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035B8D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</w:t>
            </w:r>
            <w:r w:rsidR="00035B8D">
              <w:rPr>
                <w:sz w:val="24"/>
                <w:szCs w:val="24"/>
              </w:rPr>
              <w:t>/Хабаровску</w:t>
            </w:r>
            <w:r w:rsidRPr="00295692">
              <w:rPr>
                <w:sz w:val="24"/>
                <w:szCs w:val="24"/>
              </w:rPr>
              <w:t xml:space="preserve"> (</w:t>
            </w:r>
            <w:r w:rsidR="00035B8D">
              <w:rPr>
                <w:sz w:val="24"/>
                <w:szCs w:val="24"/>
              </w:rPr>
              <w:t xml:space="preserve">во </w:t>
            </w:r>
            <w:r w:rsidR="00035B8D" w:rsidRPr="00295692">
              <w:rPr>
                <w:sz w:val="24"/>
                <w:szCs w:val="24"/>
              </w:rPr>
              <w:t>Владивосток</w:t>
            </w:r>
            <w:r w:rsidR="00035B8D">
              <w:rPr>
                <w:sz w:val="24"/>
                <w:szCs w:val="24"/>
              </w:rPr>
              <w:t>е</w:t>
            </w:r>
            <w:r w:rsidR="00035B8D" w:rsidRPr="00295692">
              <w:rPr>
                <w:sz w:val="24"/>
                <w:szCs w:val="24"/>
              </w:rPr>
              <w:t>/Артём</w:t>
            </w:r>
            <w:r w:rsidR="00035B8D">
              <w:rPr>
                <w:sz w:val="24"/>
                <w:szCs w:val="24"/>
              </w:rPr>
              <w:t xml:space="preserve">е – </w:t>
            </w:r>
            <w:r>
              <w:rPr>
                <w:sz w:val="24"/>
                <w:szCs w:val="24"/>
              </w:rPr>
              <w:t>3 часа под погрузкой/выгрузкой</w:t>
            </w:r>
            <w:r w:rsidR="00035B8D">
              <w:rPr>
                <w:sz w:val="24"/>
                <w:szCs w:val="24"/>
              </w:rPr>
              <w:t>, в Хабаровске – 4 часа под погрузкой/выгрузкой</w:t>
            </w:r>
            <w:r w:rsidRPr="00295692">
              <w:rPr>
                <w:sz w:val="24"/>
                <w:szCs w:val="24"/>
              </w:rPr>
              <w:t>)</w:t>
            </w:r>
            <w:r w:rsidR="00035B8D">
              <w:rPr>
                <w:sz w:val="24"/>
                <w:szCs w:val="24"/>
              </w:rPr>
              <w:t>,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54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Подключение КРК на терминале (КРК всегда подключен,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B70726" w:rsidRPr="00295692" w:rsidTr="007529CD">
        <w:trPr>
          <w:trHeight w:val="68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B70726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 xml:space="preserve">GenSet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45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груза в/из КРК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7529CD">
        <w:trPr>
          <w:trHeight w:val="194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7529CD">
        <w:trPr>
          <w:trHeight w:val="252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(морфрахт-каботаж)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на/с автотранспорта; разрешённая максимальная загрузка КРК на П. Камчатский / Корсаков / Магадан – </w:t>
      </w:r>
      <w:r w:rsidRPr="00B450B1">
        <w:rPr>
          <w:sz w:val="24"/>
          <w:szCs w:val="24"/>
          <w:u w:val="single"/>
        </w:rPr>
        <w:t>25 тонн нетто груза</w:t>
      </w:r>
      <w:r w:rsidRPr="00295692">
        <w:rPr>
          <w:sz w:val="24"/>
          <w:szCs w:val="24"/>
        </w:rPr>
        <w:t>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  <w:gridCol w:w="1417"/>
      </w:tblGrid>
      <w:tr w:rsidR="00B70726" w:rsidRPr="00295692" w:rsidTr="00B2131B">
        <w:trPr>
          <w:trHeight w:val="300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2131B">
        <w:trPr>
          <w:trHeight w:val="285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035B8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9</w:t>
            </w:r>
            <w:r w:rsidRPr="00295692">
              <w:rPr>
                <w:b/>
                <w:sz w:val="24"/>
                <w:szCs w:val="24"/>
              </w:rPr>
              <w:t>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П.Камчатскому (в пределах города, включено для 20’ - 2 часа, 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218AC" w:rsidP="00035B8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7</w:t>
            </w:r>
            <w:r w:rsidR="00B70726">
              <w:rPr>
                <w:b/>
                <w:sz w:val="24"/>
                <w:szCs w:val="24"/>
              </w:rPr>
              <w:t>2</w:t>
            </w:r>
            <w:r w:rsidR="00B70726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13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Корсакову (в пределах города, включено для 20’ - 2 часа,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03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5B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Магадану (в пределах города, включено д</w:t>
            </w:r>
            <w:r w:rsidR="002A56E9">
              <w:rPr>
                <w:sz w:val="24"/>
                <w:szCs w:val="24"/>
              </w:rPr>
              <w:t>ля 20’ - 2 часа,  40’- 3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В стоимость автоуслуг включено время подачи контейнера до склада включая нормативное время под погрузку/выгрузку, с момента подачи автотранспорта к месту погрузки/выгрузки для 40* футового рефрижераторного контейнера - </w:t>
      </w:r>
      <w:r w:rsidR="00F82244" w:rsidRPr="00562CA6">
        <w:rPr>
          <w:sz w:val="22"/>
          <w:szCs w:val="22"/>
        </w:rPr>
        <w:t>3</w:t>
      </w:r>
      <w:r w:rsidRPr="00562CA6">
        <w:rPr>
          <w:sz w:val="22"/>
          <w:szCs w:val="22"/>
        </w:rPr>
        <w:t xml:space="preserve"> часа.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Ставки на условиях CY-CY Владивосток - П.Камчатский, Корсаков, Магадан включают (для транзитный контейнеров): </w:t>
      </w:r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- авто перевозку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- авто перевозку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г.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мор.фрахт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мор.фрахт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B2131B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2131B">
        <w:rPr>
          <w:sz w:val="24"/>
          <w:szCs w:val="24"/>
          <w:shd w:val="clear" w:color="auto" w:fill="FFFFFF"/>
          <w:lang w:val="en-US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 w:rsidRPr="00B2131B">
        <w:rPr>
          <w:sz w:val="24"/>
          <w:szCs w:val="24"/>
          <w:shd w:val="clear" w:color="auto" w:fill="FFFFFF"/>
          <w:lang w:val="en-US"/>
        </w:rPr>
        <w:t>:</w:t>
      </w:r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sales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hyperlink r:id="rId11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malahovskij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3324A7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hyperlink r:id="rId12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maslova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6C3EE1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hyperlink r:id="rId13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pestov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6C3EE1" w:rsidRPr="00B2131B">
        <w:rPr>
          <w:sz w:val="24"/>
          <w:szCs w:val="24"/>
          <w:shd w:val="clear" w:color="auto" w:fill="FFFFFF"/>
          <w:lang w:val="en-US"/>
        </w:rPr>
        <w:t xml:space="preserve"> </w:t>
      </w:r>
      <w:r w:rsidRPr="00B2131B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B2131B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4" w:history="1">
        <w:r w:rsidRPr="00B2131B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2131B">
        <w:rPr>
          <w:sz w:val="24"/>
          <w:szCs w:val="24"/>
          <w:shd w:val="clear" w:color="auto" w:fill="FFFFFF"/>
          <w:lang w:val="en-US"/>
        </w:rPr>
        <w:t>(</w:t>
      </w:r>
      <w:r w:rsidR="003324A7">
        <w:rPr>
          <w:sz w:val="24"/>
          <w:szCs w:val="24"/>
          <w:shd w:val="clear" w:color="auto" w:fill="FFFFFF"/>
        </w:rPr>
        <w:t>доб</w:t>
      </w:r>
      <w:r w:rsidR="00B450B1" w:rsidRPr="00B2131B">
        <w:rPr>
          <w:sz w:val="24"/>
          <w:szCs w:val="24"/>
          <w:shd w:val="clear" w:color="auto" w:fill="FFFFFF"/>
          <w:lang w:val="en-US"/>
        </w:rPr>
        <w:t>. 11143</w:t>
      </w:r>
      <w:r w:rsidR="003324A7" w:rsidRPr="00B2131B">
        <w:rPr>
          <w:sz w:val="24"/>
          <w:szCs w:val="24"/>
          <w:shd w:val="clear" w:color="auto" w:fill="FFFFFF"/>
          <w:lang w:val="en-US"/>
        </w:rPr>
        <w:t>,11043</w:t>
      </w:r>
      <w:r w:rsidR="00B450B1" w:rsidRPr="00B2131B">
        <w:rPr>
          <w:sz w:val="24"/>
          <w:szCs w:val="24"/>
          <w:shd w:val="clear" w:color="auto" w:fill="FFFFFF"/>
          <w:lang w:val="en-US"/>
        </w:rPr>
        <w:t>, 11152</w:t>
      </w:r>
      <w:r w:rsidR="00847E90" w:rsidRPr="00B2131B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6C3EE1" w:rsidRDefault="003324A7" w:rsidP="001B32F8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</w:p>
    <w:p w:rsidR="00B450B1" w:rsidRPr="00B450B1" w:rsidRDefault="006C3EE1" w:rsidP="001B32F8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8-(926)-</w:t>
      </w:r>
      <w:r w:rsidR="00B450B1">
        <w:rPr>
          <w:sz w:val="24"/>
          <w:szCs w:val="24"/>
          <w:shd w:val="clear" w:color="auto" w:fill="FFFFFF"/>
        </w:rPr>
        <w:t>014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70</w:t>
      </w:r>
      <w:r>
        <w:rPr>
          <w:sz w:val="24"/>
          <w:szCs w:val="24"/>
          <w:shd w:val="clear" w:color="auto" w:fill="FFFFFF"/>
        </w:rPr>
        <w:t xml:space="preserve"> </w:t>
      </w:r>
      <w:r w:rsidRPr="006C3EE1">
        <w:rPr>
          <w:sz w:val="24"/>
          <w:szCs w:val="24"/>
        </w:rPr>
        <w:t xml:space="preserve">Пестов Павел 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5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6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</w:p>
    <w:sectPr w:rsidR="00B450B1" w:rsidRPr="00B450B1" w:rsidSect="00444DB6">
      <w:footerReference w:type="default" r:id="rId1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8F" w:rsidRDefault="0035548F" w:rsidP="00053BE2">
      <w:r>
        <w:separator/>
      </w:r>
    </w:p>
  </w:endnote>
  <w:endnote w:type="continuationSeparator" w:id="0">
    <w:p w:rsidR="0035548F" w:rsidRDefault="0035548F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760F76" w:rsidRDefault="0088110F">
        <w:pPr>
          <w:pStyle w:val="ab"/>
          <w:jc w:val="right"/>
        </w:pPr>
        <w:fldSimple w:instr=" PAGE   \* MERGEFORMAT ">
          <w:r w:rsidR="00035B8D">
            <w:rPr>
              <w:noProof/>
            </w:rPr>
            <w:t>3</w:t>
          </w:r>
        </w:fldSimple>
      </w:p>
    </w:sdtContent>
  </w:sdt>
  <w:p w:rsidR="00053BE2" w:rsidRDefault="00053B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8F" w:rsidRDefault="0035548F" w:rsidP="00053BE2">
      <w:r>
        <w:separator/>
      </w:r>
    </w:p>
  </w:footnote>
  <w:footnote w:type="continuationSeparator" w:id="0">
    <w:p w:rsidR="0035548F" w:rsidRDefault="0035548F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35B8D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574E"/>
    <w:rsid w:val="00241625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5548F"/>
    <w:rsid w:val="00366A21"/>
    <w:rsid w:val="0037261D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B1F96"/>
    <w:rsid w:val="006B269C"/>
    <w:rsid w:val="006C3EE1"/>
    <w:rsid w:val="006C4E1F"/>
    <w:rsid w:val="006F2F74"/>
    <w:rsid w:val="00706FFC"/>
    <w:rsid w:val="00711913"/>
    <w:rsid w:val="007218AC"/>
    <w:rsid w:val="0072236C"/>
    <w:rsid w:val="00734776"/>
    <w:rsid w:val="007529CD"/>
    <w:rsid w:val="00760F76"/>
    <w:rsid w:val="00761B15"/>
    <w:rsid w:val="00773E03"/>
    <w:rsid w:val="007A1A08"/>
    <w:rsid w:val="007A23C9"/>
    <w:rsid w:val="007A4823"/>
    <w:rsid w:val="007A668B"/>
    <w:rsid w:val="007B2A9B"/>
    <w:rsid w:val="007D3FD1"/>
    <w:rsid w:val="007E3B0C"/>
    <w:rsid w:val="007E76F9"/>
    <w:rsid w:val="007F1828"/>
    <w:rsid w:val="007F2B26"/>
    <w:rsid w:val="00820E46"/>
    <w:rsid w:val="00827A08"/>
    <w:rsid w:val="00847E90"/>
    <w:rsid w:val="00854771"/>
    <w:rsid w:val="00861B47"/>
    <w:rsid w:val="008806BB"/>
    <w:rsid w:val="0088110F"/>
    <w:rsid w:val="00890A50"/>
    <w:rsid w:val="00895B5E"/>
    <w:rsid w:val="008B2DEF"/>
    <w:rsid w:val="008B316B"/>
    <w:rsid w:val="008B4917"/>
    <w:rsid w:val="008C2CC4"/>
    <w:rsid w:val="008C6E1C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94AF5"/>
    <w:rsid w:val="00DA0497"/>
    <w:rsid w:val="00DB4A7D"/>
    <w:rsid w:val="00DB5C6A"/>
    <w:rsid w:val="00DC7192"/>
    <w:rsid w:val="00DD1F72"/>
    <w:rsid w:val="00E04221"/>
    <w:rsid w:val="00E20447"/>
    <w:rsid w:val="00E210CB"/>
    <w:rsid w:val="00E30117"/>
    <w:rsid w:val="00E30A78"/>
    <w:rsid w:val="00E30F6C"/>
    <w:rsid w:val="00E334C1"/>
    <w:rsid w:val="00E36BA6"/>
    <w:rsid w:val="00E40998"/>
    <w:rsid w:val="00E412C5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hyperlink" Target="mailto:pestov@refservic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slova@refservic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fservic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ahovskij@refservi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allto:(499)%20262-57-14" TargetMode="External"/><Relationship Id="rId10" Type="http://schemas.openxmlformats.org/officeDocument/2006/relationships/hyperlink" Target="mailto:sales@refservic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malahovskij</cp:lastModifiedBy>
  <cp:revision>2</cp:revision>
  <cp:lastPrinted>2017-01-18T14:09:00Z</cp:lastPrinted>
  <dcterms:created xsi:type="dcterms:W3CDTF">2018-10-04T17:08:00Z</dcterms:created>
  <dcterms:modified xsi:type="dcterms:W3CDTF">2018-10-04T17:08:00Z</dcterms:modified>
</cp:coreProperties>
</file>